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1377B">
      <w:pPr>
        <w:pStyle w:val="2"/>
        <w:jc w:val="center"/>
        <w:rPr>
          <w:rStyle w:val="6"/>
          <w:rFonts w:hint="default" w:ascii="方正大标宋_GBK" w:hAnsi="方正大标宋_GBK" w:eastAsia="方正大标宋_GBK" w:cs="仿宋"/>
          <w:b w:val="0"/>
          <w:color w:val="auto"/>
          <w:sz w:val="44"/>
          <w:szCs w:val="44"/>
          <w:highlight w:val="none"/>
          <w:lang w:val="en-US" w:eastAsia="zh-CN" w:bidi="ar-SA"/>
        </w:rPr>
      </w:pPr>
      <w:r>
        <w:rPr>
          <w:rStyle w:val="6"/>
          <w:rFonts w:hint="default" w:ascii="方正大标宋_GBK" w:hAnsi="方正大标宋_GBK" w:eastAsia="方正大标宋_GBK" w:cs="仿宋"/>
          <w:b w:val="0"/>
          <w:color w:val="auto"/>
          <w:sz w:val="44"/>
          <w:szCs w:val="44"/>
          <w:highlight w:val="none"/>
          <w:lang w:val="en-US" w:eastAsia="zh-CN" w:bidi="ar-SA"/>
        </w:rPr>
        <w:t>采购需求</w:t>
      </w:r>
    </w:p>
    <w:p w14:paraId="088D21DE">
      <w:pPr>
        <w:pStyle w:val="2"/>
        <w:spacing w:line="440" w:lineRule="exact"/>
        <w:rPr>
          <w:rFonts w:hint="default" w:ascii="仿宋_GB2312" w:eastAsia="仿宋_GB2312" w:hAnsiTheme="majorEastAsia" w:cstheme="majorEastAsia"/>
          <w:b w:val="0"/>
          <w:color w:val="auto"/>
          <w:sz w:val="28"/>
          <w:szCs w:val="28"/>
          <w:highlight w:val="none"/>
        </w:rPr>
      </w:pPr>
      <w:bookmarkStart w:id="0" w:name="_Toc24710"/>
      <w:bookmarkEnd w:id="0"/>
      <w:bookmarkStart w:id="1" w:name="_Toc144887806"/>
      <w:bookmarkStart w:id="2" w:name="_Toc144881037"/>
      <w:r>
        <w:rPr>
          <w:rFonts w:ascii="仿宋_GB2312" w:eastAsia="仿宋_GB2312" w:hAnsiTheme="majorEastAsia" w:cstheme="majorEastAsia"/>
          <w:b w:val="0"/>
          <w:color w:val="auto"/>
          <w:sz w:val="28"/>
          <w:szCs w:val="28"/>
          <w:highlight w:val="none"/>
        </w:rPr>
        <w:t>前注:</w:t>
      </w:r>
      <w:bookmarkEnd w:id="1"/>
      <w:bookmarkEnd w:id="2"/>
    </w:p>
    <w:p w14:paraId="0065856A">
      <w:pPr>
        <w:pStyle w:val="2"/>
        <w:spacing w:line="440" w:lineRule="exact"/>
        <w:ind w:firstLine="560" w:firstLineChars="200"/>
        <w:rPr>
          <w:rFonts w:hint="default" w:ascii="仿宋_GB2312" w:eastAsia="仿宋_GB2312" w:hAnsiTheme="majorEastAsia" w:cstheme="majorEastAsia"/>
          <w:b w:val="0"/>
          <w:color w:val="auto"/>
          <w:sz w:val="28"/>
          <w:szCs w:val="28"/>
          <w:highlight w:val="none"/>
        </w:rPr>
      </w:pPr>
      <w:bookmarkStart w:id="3" w:name="_Toc144887807"/>
      <w:bookmarkStart w:id="4" w:name="_Toc144881038"/>
      <w:r>
        <w:rPr>
          <w:rFonts w:ascii="仿宋_GB2312" w:eastAsia="仿宋_GB2312" w:hAnsiTheme="majorEastAsia" w:cstheme="majorEastAsia"/>
          <w:b w:val="0"/>
          <w:color w:val="auto"/>
          <w:sz w:val="28"/>
          <w:szCs w:val="28"/>
          <w:highlight w:val="none"/>
        </w:rPr>
        <w:t>根据《关于规范政府采购进口产品有关工作的通知》及政府采购管理部门的相关规定，下列采购需求</w:t>
      </w:r>
      <w:r>
        <w:rPr>
          <w:rFonts w:hint="eastAsia" w:ascii="仿宋_GB2312" w:eastAsia="仿宋_GB2312" w:hAnsiTheme="majorEastAsia" w:cstheme="majorEastAsia"/>
          <w:b w:val="0"/>
          <w:color w:val="auto"/>
          <w:sz w:val="28"/>
          <w:szCs w:val="28"/>
          <w:highlight w:val="none"/>
          <w:lang w:eastAsia="zh-CN"/>
        </w:rPr>
        <w:t>成交</w:t>
      </w:r>
      <w:r>
        <w:rPr>
          <w:rFonts w:ascii="仿宋_GB2312" w:eastAsia="仿宋_GB2312" w:hAnsiTheme="majorEastAsia" w:cstheme="majorEastAsia"/>
          <w:b w:val="0"/>
          <w:color w:val="auto"/>
          <w:sz w:val="28"/>
          <w:szCs w:val="28"/>
          <w:highlight w:val="none"/>
        </w:rPr>
        <w:t>注进口产品的货物均已履行相关论证手续，经核准采购进口产品，但不限制满足</w:t>
      </w:r>
      <w:r>
        <w:rPr>
          <w:rFonts w:hint="eastAsia" w:ascii="仿宋_GB2312" w:eastAsia="仿宋_GB2312" w:hAnsiTheme="majorEastAsia" w:cstheme="majorEastAsia"/>
          <w:b w:val="0"/>
          <w:color w:val="auto"/>
          <w:sz w:val="28"/>
          <w:szCs w:val="28"/>
          <w:highlight w:val="none"/>
          <w:lang w:eastAsia="zh-CN"/>
        </w:rPr>
        <w:t>响应文件</w:t>
      </w:r>
      <w:r>
        <w:rPr>
          <w:rFonts w:ascii="仿宋_GB2312" w:eastAsia="仿宋_GB2312" w:hAnsiTheme="majorEastAsia" w:cstheme="majorEastAsia"/>
          <w:b w:val="0"/>
          <w:color w:val="auto"/>
          <w:sz w:val="28"/>
          <w:szCs w:val="28"/>
          <w:highlight w:val="none"/>
        </w:rPr>
        <w:t>要求的国内产品参与竞争。未标注进口产品的货物均为拒绝采购进口产品。</w:t>
      </w:r>
      <w:bookmarkEnd w:id="3"/>
      <w:bookmarkEnd w:id="4"/>
    </w:p>
    <w:p w14:paraId="0071C3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b w:val="0"/>
          <w:bCs w:val="0"/>
          <w:color w:val="auto"/>
          <w:kern w:val="0"/>
          <w:sz w:val="24"/>
          <w:szCs w:val="24"/>
          <w:highlight w:val="none"/>
        </w:rPr>
      </w:pPr>
      <w:bookmarkStart w:id="5" w:name="_Toc144887808"/>
      <w:bookmarkStart w:id="6" w:name="_Toc144881039"/>
      <w:r>
        <w:rPr>
          <w:rFonts w:hint="eastAsia" w:ascii="宋体" w:hAnsi="宋体" w:eastAsia="宋体" w:cs="宋体"/>
          <w:b w:val="0"/>
          <w:bCs w:val="0"/>
          <w:color w:val="auto"/>
          <w:kern w:val="0"/>
          <w:sz w:val="24"/>
          <w:szCs w:val="24"/>
          <w:highlight w:val="none"/>
          <w:lang w:val="en-US" w:eastAsia="zh-CN"/>
        </w:rPr>
        <w:t>一、</w:t>
      </w:r>
      <w:r>
        <w:rPr>
          <w:rFonts w:hint="eastAsia" w:ascii="宋体" w:hAnsi="宋体" w:eastAsia="宋体" w:cs="宋体"/>
          <w:b w:val="0"/>
          <w:bCs w:val="0"/>
          <w:color w:val="auto"/>
          <w:kern w:val="0"/>
          <w:sz w:val="24"/>
          <w:szCs w:val="24"/>
          <w:highlight w:val="none"/>
        </w:rPr>
        <w:t xml:space="preserve">采购需求前附表 </w:t>
      </w:r>
    </w:p>
    <w:tbl>
      <w:tblPr>
        <w:tblStyle w:val="4"/>
        <w:tblW w:w="9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0"/>
        <w:gridCol w:w="2583"/>
        <w:gridCol w:w="5551"/>
      </w:tblGrid>
      <w:tr w14:paraId="6403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506B898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序号</w:t>
            </w:r>
          </w:p>
        </w:tc>
        <w:tc>
          <w:tcPr>
            <w:tcW w:w="2583" w:type="dxa"/>
          </w:tcPr>
          <w:p w14:paraId="56E297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条款名称</w:t>
            </w:r>
          </w:p>
        </w:tc>
        <w:tc>
          <w:tcPr>
            <w:tcW w:w="5551" w:type="dxa"/>
          </w:tcPr>
          <w:p w14:paraId="3BD5E1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内容、说明与要求</w:t>
            </w:r>
          </w:p>
        </w:tc>
      </w:tr>
      <w:tr w14:paraId="01A8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vAlign w:val="center"/>
          </w:tcPr>
          <w:p w14:paraId="346259D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1</w:t>
            </w:r>
          </w:p>
        </w:tc>
        <w:tc>
          <w:tcPr>
            <w:tcW w:w="2583" w:type="dxa"/>
            <w:vAlign w:val="center"/>
          </w:tcPr>
          <w:p w14:paraId="627A48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付款方式</w:t>
            </w:r>
          </w:p>
        </w:tc>
        <w:tc>
          <w:tcPr>
            <w:tcW w:w="5551" w:type="dxa"/>
            <w:vAlign w:val="center"/>
          </w:tcPr>
          <w:p w14:paraId="22925309">
            <w:pPr>
              <w:keepNext w:val="0"/>
              <w:keepLines w:val="0"/>
              <w:widowControl/>
              <w:suppressLineNumbers w:val="0"/>
              <w:jc w:val="center"/>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rPr>
              <w:t>供应商在完成供货</w:t>
            </w:r>
            <w:r>
              <w:rPr>
                <w:rFonts w:hint="eastAsia" w:ascii="宋体" w:hAnsi="宋体" w:eastAsia="宋体" w:cs="宋体"/>
                <w:b w:val="0"/>
                <w:bCs w:val="0"/>
                <w:color w:val="auto"/>
                <w:kern w:val="0"/>
                <w:sz w:val="24"/>
                <w:szCs w:val="24"/>
                <w:highlight w:val="none"/>
                <w:vertAlign w:val="baseline"/>
                <w:lang w:val="en-US" w:eastAsia="zh-CN"/>
              </w:rPr>
              <w:t>安装</w:t>
            </w:r>
            <w:r>
              <w:rPr>
                <w:rFonts w:hint="eastAsia" w:ascii="宋体" w:hAnsi="宋体" w:eastAsia="宋体" w:cs="宋体"/>
                <w:b w:val="0"/>
                <w:bCs w:val="0"/>
                <w:color w:val="auto"/>
                <w:kern w:val="0"/>
                <w:sz w:val="24"/>
                <w:szCs w:val="24"/>
                <w:highlight w:val="none"/>
                <w:vertAlign w:val="baseline"/>
              </w:rPr>
              <w:t>并验收合格后，支付合同价款的100%。</w:t>
            </w:r>
          </w:p>
        </w:tc>
      </w:tr>
      <w:tr w14:paraId="6D7E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0E09F7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2</w:t>
            </w:r>
          </w:p>
        </w:tc>
        <w:tc>
          <w:tcPr>
            <w:tcW w:w="2583" w:type="dxa"/>
          </w:tcPr>
          <w:p w14:paraId="58D069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rPr>
              <w:t>供货及安装地点</w:t>
            </w:r>
          </w:p>
        </w:tc>
        <w:tc>
          <w:tcPr>
            <w:tcW w:w="5551" w:type="dxa"/>
          </w:tcPr>
          <w:p w14:paraId="218863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淮南市卫生学校</w:t>
            </w:r>
          </w:p>
        </w:tc>
      </w:tr>
      <w:tr w14:paraId="3CE5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5DEF8BE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3</w:t>
            </w:r>
          </w:p>
        </w:tc>
        <w:tc>
          <w:tcPr>
            <w:tcW w:w="2583" w:type="dxa"/>
          </w:tcPr>
          <w:p w14:paraId="674D944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供货及安装期限</w:t>
            </w:r>
          </w:p>
        </w:tc>
        <w:tc>
          <w:tcPr>
            <w:tcW w:w="5551" w:type="dxa"/>
          </w:tcPr>
          <w:p w14:paraId="7ED611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vertAlign w:val="baseline"/>
              </w:rPr>
              <w:t>合同</w:t>
            </w:r>
            <w:r>
              <w:rPr>
                <w:rFonts w:hint="eastAsia" w:ascii="宋体" w:hAnsi="宋体" w:eastAsia="宋体" w:cs="宋体"/>
                <w:b w:val="0"/>
                <w:bCs w:val="0"/>
                <w:color w:val="auto"/>
                <w:kern w:val="0"/>
                <w:sz w:val="24"/>
                <w:szCs w:val="24"/>
                <w:highlight w:val="none"/>
                <w:vertAlign w:val="baseline"/>
                <w:lang w:val="en-US" w:eastAsia="zh-CN"/>
              </w:rPr>
              <w:t>签订</w:t>
            </w:r>
            <w:r>
              <w:rPr>
                <w:rFonts w:hint="eastAsia" w:ascii="宋体" w:hAnsi="宋体" w:eastAsia="宋体" w:cs="宋体"/>
                <w:b w:val="0"/>
                <w:bCs w:val="0"/>
                <w:color w:val="auto"/>
                <w:kern w:val="0"/>
                <w:sz w:val="24"/>
                <w:szCs w:val="24"/>
                <w:highlight w:val="none"/>
                <w:vertAlign w:val="baseline"/>
              </w:rPr>
              <w:t>后</w:t>
            </w:r>
            <w:r>
              <w:rPr>
                <w:rFonts w:hint="eastAsia" w:ascii="宋体" w:hAnsi="宋体" w:eastAsia="宋体" w:cs="宋体"/>
                <w:b w:val="0"/>
                <w:bCs w:val="0"/>
                <w:color w:val="auto"/>
                <w:kern w:val="0"/>
                <w:sz w:val="24"/>
                <w:szCs w:val="24"/>
                <w:highlight w:val="none"/>
                <w:vertAlign w:val="baseline"/>
                <w:lang w:val="en-US" w:eastAsia="zh-CN"/>
              </w:rPr>
              <w:t>10</w:t>
            </w:r>
            <w:r>
              <w:rPr>
                <w:rFonts w:hint="eastAsia" w:ascii="宋体" w:hAnsi="宋体" w:eastAsia="宋体" w:cs="宋体"/>
                <w:b w:val="0"/>
                <w:bCs w:val="0"/>
                <w:color w:val="auto"/>
                <w:kern w:val="0"/>
                <w:sz w:val="24"/>
                <w:szCs w:val="24"/>
                <w:highlight w:val="none"/>
                <w:vertAlign w:val="baseline"/>
              </w:rPr>
              <w:t>日历天</w:t>
            </w:r>
          </w:p>
        </w:tc>
      </w:tr>
      <w:tr w14:paraId="6B28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3AF2230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4</w:t>
            </w:r>
          </w:p>
        </w:tc>
        <w:tc>
          <w:tcPr>
            <w:tcW w:w="2583" w:type="dxa"/>
          </w:tcPr>
          <w:p w14:paraId="38110A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lang w:val="en-US" w:eastAsia="zh-CN"/>
              </w:rPr>
            </w:pPr>
            <w:r>
              <w:rPr>
                <w:rFonts w:hint="eastAsia" w:ascii="宋体" w:hAnsi="宋体" w:eastAsia="宋体" w:cs="宋体"/>
                <w:b w:val="0"/>
                <w:bCs w:val="0"/>
                <w:color w:val="auto"/>
                <w:kern w:val="0"/>
                <w:sz w:val="24"/>
                <w:szCs w:val="24"/>
                <w:highlight w:val="none"/>
                <w:vertAlign w:val="baseline"/>
                <w:lang w:val="en-US" w:eastAsia="zh-CN"/>
              </w:rPr>
              <w:t>免费质保期</w:t>
            </w:r>
          </w:p>
        </w:tc>
        <w:tc>
          <w:tcPr>
            <w:tcW w:w="5551" w:type="dxa"/>
          </w:tcPr>
          <w:p w14:paraId="4FA950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highlight w:val="none"/>
                <w:vertAlign w:val="baseline"/>
              </w:rPr>
            </w:pPr>
            <w:r>
              <w:rPr>
                <w:rFonts w:hint="eastAsia" w:ascii="宋体" w:hAnsi="宋体" w:eastAsia="宋体" w:cs="宋体"/>
                <w:b w:val="0"/>
                <w:bCs w:val="0"/>
                <w:color w:val="auto"/>
                <w:kern w:val="0"/>
                <w:sz w:val="24"/>
                <w:szCs w:val="24"/>
                <w:highlight w:val="none"/>
              </w:rPr>
              <w:t xml:space="preserve">验收合格之日起 </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 xml:space="preserve"> 年</w:t>
            </w:r>
          </w:p>
        </w:tc>
      </w:tr>
    </w:tbl>
    <w:p w14:paraId="014AFB5A">
      <w:pPr>
        <w:pStyle w:val="2"/>
        <w:spacing w:line="440" w:lineRule="exact"/>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二、</w:t>
      </w:r>
      <w:r>
        <w:rPr>
          <w:rFonts w:ascii="宋体" w:hAnsi="宋体" w:eastAsia="宋体" w:cs="宋体"/>
          <w:b w:val="0"/>
          <w:color w:val="auto"/>
          <w:sz w:val="24"/>
          <w:szCs w:val="24"/>
          <w:highlight w:val="none"/>
        </w:rPr>
        <w:t>采购需求</w:t>
      </w:r>
      <w:bookmarkEnd w:id="5"/>
      <w:bookmarkEnd w:id="6"/>
      <w:bookmarkStart w:id="7" w:name="_Toc144881040"/>
      <w:bookmarkStart w:id="8" w:name="_Toc144887809"/>
    </w:p>
    <w:bookmarkEnd w:id="7"/>
    <w:bookmarkEnd w:id="8"/>
    <w:tbl>
      <w:tblPr>
        <w:tblStyle w:val="3"/>
        <w:tblW w:w="100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6"/>
        <w:gridCol w:w="1254"/>
        <w:gridCol w:w="5764"/>
        <w:gridCol w:w="809"/>
        <w:gridCol w:w="755"/>
        <w:gridCol w:w="827"/>
      </w:tblGrid>
      <w:tr w14:paraId="6487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2E6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1D3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B1C0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CCB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A13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962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8A6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09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239C">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一、智慧化校园软件系统</w:t>
            </w:r>
          </w:p>
        </w:tc>
      </w:tr>
      <w:tr w14:paraId="0F611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09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B5A8">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1.1学生管理服务平台</w:t>
            </w:r>
          </w:p>
        </w:tc>
      </w:tr>
      <w:tr w14:paraId="67A7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EE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A1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助学金管理模块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D2BE5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基于学校现有的学生管理服务平台，新增助学金管理系统，应支持：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1.支持学校自定义学生奖学金和助学金类型名称。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2.支持班主任发起助学金申请，支持自定义学校助学金审核流程。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3.支持班主任和管理部门查询审核状态，审核不通过的支持在线查看原因。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4.支持在线查看学生助学金详情和打印学生助学金申请表。</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1E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4A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2D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9" w:name="_GoBack"/>
            <w:bookmarkEnd w:id="9"/>
          </w:p>
        </w:tc>
      </w:tr>
      <w:tr w14:paraId="5F60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0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12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26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学生资助管理模块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622B9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基于学校现有的学生管理服务平台，新增学生资助管理系统，应支持：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1．系统支持对学生资助信息进行登记，支持自定义资助类型，如校内资助、国家资助和社会资助等。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2．支持单个新增或批量导入；可按学生姓名、学期和资助类型查询和导出。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1A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20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77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3505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49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7B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0"/>
                <w:szCs w:val="20"/>
                <w:u w:val="none"/>
                <w:lang w:val="en-US" w:eastAsia="zh-CN" w:bidi="ar"/>
              </w:rPr>
              <w:t>学生操行（德育）管理模块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255EB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基于学校现有的学生管理服务平台，新增学生操行（德育）管理系统，系统需WEB端和移动端APP结合使用。应支持：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1．奖惩项管理：支持新增奖惩项目名称、内容、类型（违纪、处分和奖励）和德育分。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2.操行录入和修改：支持单个/批量录入学生操行信息，批量录入时，支持选择多个学生，批量录入奖惩信息，支持导入和修改学生操行记录。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3．奖惩查询：支持学生处和德育管理部门查看全校学生奖惩信息，支持批量导出。班主任可以查询本班学生奖惩信息，支持批量导出。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4．操作日志：系统支持查看所有操行的操作日志，并支持按学生姓名、学号、奖惩项目、奖惩时间、操作时间和操作人等多维度查询。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5．移动端APP教职工应用：通过移动端APP对学生日常行为进行奖惩管理，支持学号查询、扫描二维码、身份证查询和人脸识别查询方式确认学生身份信息，并可以提交学生的奖惩记录，支持与WEB端同步。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6．移动端APP学生应用：学生通过移动端APP查询操行情况，支持对处分类操行提交思想汇报。</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36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8F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93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3113B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8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BB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84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宿舍管理模块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6FC33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基于学校现有的学生管理服务平台，新增学生宿舍管理系统，应支持：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1．宿舍管理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宿舍管理设置：宿舍管理员设置、生活指导人员设置，支持设置到楼栋、楼层、房间。系统支持填写宿舍总层数、每层房间数、每间床位数、宿舍性别后批量创建宿舍，单个新增、修改，支持同一楼层，划分男女生宿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（2）宿舍长管理：支持班主任查询和设置本班学生所在宿舍的宿舍长。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★（3）宿舍牌打印：支持设置多个宿舍牌打印模板，支持图形化定义模板，模板支持任意位置插入宿舍信息、学生信息、宿舍长名称，内容位置均可自主调整；支持设置默认打印模板。提供系统功能截图。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分配宿舍：系统支持按宿舍、楼层、房间进行宿舍预分配，预分配方式支持按班级和教学单位，支持单个分配宿舍和批量分配宿舍；支持按照图形化的方式分配宿舍，拖拽学生进入指定的宿舍实现快速分配，支持框选多个学生统一拖拽分配；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（5）修改宿舍：支持单个修改宿舍和批量修改宿舍，支持按照图形化的方式修改宿舍，拖拽学生调整学生宿舍，支持框选多个学生统一拖拽分配调整；宿舍分配好后系统自动生成宿舍分配管理日志。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（6）住宿情况：导入/导出学生住宿信息表，清理毕业学生住宿信息，可查看全校宿舍楼信息，宿舍床位详情。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（7）分配日志：支持查看宿舍分配操作日志。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2．宿舍检查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（1）检查配置：支持管理员设置每一天可检查的次数（打分时可选择当前打分的批次），支持管理员设置可以提前检查天数（用户可提前几天开始检查）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（2）检查项目：根据学校实际情况，添加打分项，设置打分项名称、打分类型（宿舍集体分和学生个人分）、分值类型（默认分和最高分）、设置打分值并确定是否开启打分项。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移动端APP：支持分批次、分项目给宿舍打分,分数类型为集体分和个人分，支持上传打分佐证图片，打分情况自动汇总成宿舍分数排行和个人分数排行。当为宿舍集体分时，只需要给整个宿舍进行打分；当为学生个人分时，需要选择宿舍中的学生后才能进行打分；当分值类型为默认分时，打分时分数默认为后台设置的分值，当分值类型为最高分时，打分时分数默认为0；打分时分数范围为0-设置分数，不可超出分数范围；打分时可不对所有宿舍、所有项目都进行打分，没有打分直接提交，则分数根据分值类型设置默认值：默认分：默认分值，最高分：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（4）检查详情：查看宿舍检查各项打分详情。需要显示各宿舍，各个打分项的分值，检查项目有扣分用红色数字表示，检查项目有加分用蓝色数字表示。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（5）分数排行：分为宿舍分数排行、个人分数排行和班级分数排行，为学校对宿舍检查进行评优评先提供依据，支持导出。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（6）退回检查：管理员可退回已提交的打分结果，退回后打分人可重新进行打分。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3.宿舍未出未归管理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（1）时间点管理：可按照年级和教学单位创建不同的统计周期，可设置需要统计的日期（周一、周二、周三、周四、周五、周六、周日）、统计的时间点、进出类型，可设置法定节假日自动排休/补课。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（2）未出未归查询：支持班主任、管理人员查询有权限的未出未归学生明细，支持导出明细或按宿舍楼分类导出，管理人员可在移动端APP按时间段快速查询并导出未出未归数据。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（3）未出未归统计：支持班主任、管理人员查询有权限教学单位、班级未出未归统计信息，支持从统计结果页面直接查看未出未归学生明细，并支持导出。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（4）识别记录查询：支持有操作权限的管理人员在智慧校园WEB端对学生进出宿舍刷脸的明细进行查询导出。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关联：通过人脸识别设备关联，系统按照规则自动生成未出未归数据，支持与闸机设备关联，与学生宿舍管理系统的数据同步与集成，在非允许时间段内需要刷脸识别身份进出宿舍，非该楼栋学生不可通行，数据自动关联学校学生请假系统，未出未归数据计算完成后，自动发送未出未归统计信息给班主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4.宿舍查寝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（1）查寝配置：系统可配置默认查寝次数，也可按照宿舍楼设置各宿舍楼的查寝次数。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宿舍查寝：宿舍查寝可分角色分批次对学生到宿舍情况进行查询登记，记录异常情况，如旷寝，也可以对旷寝记录信息进行撤销，查寝时支持与学生请假、学生留校系统关联，请假时显示学生请假状态，留校时显示留校需要查寝的学生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（3）查寝详情：支持管理人员查看所有查寝异常学生数据，支持班主任查询本班查寝结果，查寝结果可以导出。若标记学生查寝异常，异常数据通过移动端APP消息推送实时反馈到班主任处。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（4）就寝查询：可查询就寝异常数据，分为班级分组查询、姓名查询。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（5）查寝汇总：支持汇总查寝结果，按照班级查询旷寝人数信息。</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3E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E5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82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3616E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5"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A3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46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实习管理服务模块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F890B6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校现有的学生管理服务平台，新增实习管理服务系统，支持WEB端和移动端APP结合使用，使用对象应支持教师、学生和家长，实现对实习基础数据和流程的统一管理，对实习企业的基本信息进行管理。应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1．基础信息：可通过系统进行实习批次、实习企业和实习岗位信息的设置。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2．实习报名审核：支持学生及其家长签字同意实习安排后，通过学生姓名、身份证号、批次、专业等信息查看各个批次学生报名审核情况。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3．实习信息：支持查询学生实习信息、学生实习变更记录和企业指导老师对实习情况的评价信息。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4.实习材料：支持查看各个批次中学生提交的实习报告和实习鉴定表，以及各个学生的实习鉴定信息。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（1）实习报告：支持查看学生实习报告，并支持以WPS（EXCEL）的形式导出实习报告。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（2）实习鉴定：支持导入与下载实习鉴定表模版，支持导出实习鉴定图片，支持查看实习鉴定详情。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5.日常管理：对学生的实习日志、实习请假、实习考勤等信息进行管理。支持将学生实习请假和考勤情况推送给班主任和家长，支持导出数据查看。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实习查询：支持学生实习全维度展示，包括基础信息、实习变更、实习日志、实习报告、实习期间请假和考勤情况等多维度的查询和导出。支持查看学生实习信息汇总，各个类型的实习学生数据以扇形图和柱状图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7.移动端APP功能：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（1）实习变更：对学生实习岗位进行管理，支持岗位变动调整，支持学生通过移动端APP自主发起变更申请，同时支持班主任代为发起。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（2）实习考勤：系统支持记录多个实习场地，录入GPS位置后可设置考勤范围，实现学生每日定位打卡。考勤信息支持推送给班主任和家长。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★（3）实习日志：对学生实习日报、周报、月报的管理，支持学生通过手机移动端APP提交日报、周报和月报，支持指导老师对实习日志进行查看和评价。提供系统功能截图。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（4）实习请假：学生可通过移动端APP进行实习请假，请假审核人员支持在实习批次管理时进行设置，请假信息支持推送给班主任和家长。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（5）实习报告：支持学生提交实习报告。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（6）实习鉴定：学生可以对实习鉴定进行拍照上传，支持指导老师通过手机移动端APP进行查看。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★（7）实习管理：支持班主任在移动端APP按实习批次查看本班实习学生、实习变更信息、实习考勤异常（缺勤、迟到、早退）情况、实习日志、实习请假和实习报告。提供系统功能截图。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（8）实习指导：支持指导老师在移动端APP按实习批次查看自己所指导的实习学生、实习变更信息、实习考勤异常（缺勤、迟到、早退）情况、实习日志、实习请假和实习报告。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（9）实习审核：支持学生及其家长签字同意实习安排后，班主任通过移动端APP审核学生实习报名信息。</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FA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ED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55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031D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31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CF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实训管理模块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91FFD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基于学校现有的学生管理服务平台，新增实训管理系统，应支持：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训系统集实训基地、实训室、实训项目、实训计划、实训资产/耗材及实训过程管理于一体，支持学校对校内校外实训基地信息的管理、教师根据课程与学生情况制定详细实训计划并上传相关资料、实训资产/耗材信息的精确录入与管理，以及实训过程关键信息的实时记录，有效提升了实训教学管理的效率与质量，确保了实训资源的优化配置与高效利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1.实训基地管理：支持管理学校校内、校外实训基地信息，支持管理人员导入/导出实训基地信息。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2.实训室管理：支持管理学校实训室信息，支持设置实训室的负责人和实训工位数，负责人可从校内教职工中选择，并可将实训室关联对应的校内实训基地，支持管理人员导入/导出实训室信息。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3.实训项目管理：支持管理学校实训项目信息，支持设置每个学期、归口专业的实训项目信息，包括实训课时数、配套资源、技能要求、考核方式等，并可将项目关联至对应的校内实训基地。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实训计划管理：支持教师根据专业课程要求和学生实际情况，制定详细的实训计划。教师可以设定实训基地、实训项目、实训内容、实训计划时间等关键信息，并上传实训指导书、实训器材清单等相关资料。同时，系统支持对实训计划进行审核和调整，确保计划的合理性和可行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实训资产/耗材管理：系统支持对实训过程中所使用的各类资产/耗材进行信息录入和管理，包括资产/耗材分类、资产/耗材名称、规格、数量、价格、所属实训室、状态等。这样可以确保资产/耗材信息的准确性和完整性，为后续的管理和使用提供基础数据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6.实训过程管理：系统支持记录实训过程中的关键信息，如实训项目的实训软件名称、使用日期、实训时长、实训结果综合评价等。</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5B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E4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37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D2B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095"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38151">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二、数据中台</w:t>
            </w:r>
          </w:p>
        </w:tc>
      </w:tr>
      <w:tr w14:paraId="40ED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095"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B536C">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2.1智慧教育管理平台</w:t>
            </w:r>
          </w:p>
        </w:tc>
      </w:tr>
      <w:tr w14:paraId="7374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4"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12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C6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7D03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（一）课程管理系统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课程管理系统是教学管理的核心内容，需结合在线教学的特点，对课程管理进行调整和创新，为线上教学课程管理提供全面的支持服务。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1.新建课程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支持教师新建设课程，设置课程名称、课程编码、开始时间、结束时间等，支持所开课程关联专业大类，支持课程类型设置为专业基础课、专业方向课和职业技能课。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支持教师上传课程封面，支持上传MP4/AVI/WMV格式的课程封面动画，支持在线编辑课程简介，设置课程常见问题。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2.开课班级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在课程下添加课程班级，设置班级名称、所属学期、所属系部（专业部）、授课老师等基础信息，支持学生通过邀请码和扫班级二维码加入班级，支持教师设置学生加入班级是否需要审核，支持设置班级最大人数。支持按院系、专业、年级、行政班等多种方式关联学生，快捷形成班级学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支持对不同的班级设置不同的考核权重和合格分，支持通过课件学习、作业、考试的比例设置班级考核权重。支持对不同的班级设置不同的授课老师。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新增课程模块，生成课程目录，支持在课程模块下设置课程任务，支持课程任务上传资源，支持从教师资源和本地导入资源，支持视频、文档、图片、压缩包等多类型的资源。支持课程发布前在线校验教学设计课程，校验完成后可一链发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支持课程知识树建设，支持根据课程设计一键生成知识树，支持修改、编辑、添加、删除、查询知识树。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4.题库管理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师可在课程中建设题库，支持建设添加题目，支持多种主观和客观类型的试题，需包含但不限于单选题、多选题、判断题、填空题、完形填空、阅读理解、翻译题、单句理解、简答题、论述题、不定式题、组合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支持设置题目难度、知识点等，支持按题干、题型、难度、知识点查询题目，支持以文本、图片等形式设定试题内容、答案及解析。支持题目导入、导出、批量删除。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5.作业管理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新增作业：支持在课程下建设课程作业，支持设置作业名称、作业要求，支持随机出题和固定出题两种模式，支持从题库中选择题目组成作业。支持设置两种以上多选择题计分方式，支持题目乱序方式出题，支持设置作业中包含的每类题型的分值、题目数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置作业：支持向课程下不同的班级发布不同的在线作业，支持不同的班级设置不同的作业开始时间、结束时间、学生答题时间。为防止学生在线查询答案，支持设置禁止复制粘贴。支持在线预览作业、查询作业、删除作业等。支持根据组卷规则生成平时作业规则，需包括题型、数量、分值、知识点分布、难易程度，每次平时作业的总分为100分，支持学习者多次做作业，作业成绩取最高值。支持系统根据考核权重设置计算平时作业成绩与考试成绩的自动汇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批阅作业：学习者在授课教师指定的时间段内完成平时作业，在完成平时作业的过程中，系统需支持自动保存答题结果，也支持学习者手动保存，如果出现断电、断网等异常情况，支持学习者续做上次未完成的平时作业。学习者提交平时作业后，支持教师进行评阅。未被评阅前，学习者可以重复答题、多次提交，并以最后一次提交的答题内容为教师的评阅依据。被评阅后，学习者不能进行答题、提交，支持学习者浏览自己的答题结果、标准答案及解析、评阅意见和平时作业成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学生完成作业提交后，教师可在线批阅作业，支持客观题自动批阅功能，学生提交作业或测试后即能查看对应的成绩与试题详细分析，主观题目的作业和测试支持教师批阅后方可查看成绩与试题详细分析。系统实时统计已批阅作业数、未批阅数，支持按班级对学生的作业进行批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6.教师团队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管理支持通过不同的角色实现不同的管理功能，支持授课教师通过课程管理上传自己制作的课程资源，也支持从课程库选择与自己课程相关的资源，将所需资源组织成系统的在线课程。支持学习者基于授课教师发布的在线课程进行线上学习，通过课程管理可对学习者的学习行为进行详细记录，并呈现学习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授课教师：授课教师是课程管理的主导者，支持授课教师通过课程管理上传自己制作的课程资源，也支持从课程库选择与自己课程相关的资源，以灵活的方式按章、节、知识点对课程内容进行组织，便捷地组织成系统的在线课程，支持在课程内容发布前，授课教师可以对课程内容进行预览，还可以通过附件形式上传可供学习者下载的学习资源。课程发布后，学习者可以进行线上学习。</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0C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AE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5F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F77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78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AC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FC78A7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（二）教学管理系统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1.权限管理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根据登录账号的角色不同，进行对应的人员管理，对学生、教师信息进行查看；支持账号分配、专业管理，以及相关的增、删、改、查等相关操作；并且支持按条件查询相关信息；支持教务管理员对本校的学生、班级和教师进行增、删、改、查等相关的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2.开课管理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支持管理员设置学校专业大类、专业、课程库，支持专业与专业大类相关联、课程库与专业关联、课程与专业大相关联、课程与课程库关联，支持审核管理员审核开设课程，提高学校教师开课的规范性。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支持对学校基础课程进行统一管理，支持教学管理员按条件查询课程信息，同时还支持统计和查看与课程相关联的教课程包。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3.学习管理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学生在平台上的所有任务和工作都是在学习空间里完成的。学习空间需包括我的课程、我的考试、我的作业。支持学习者在学习空间中对个人资料进行查看、修改和完善，也支持对账户密码安全进行设置。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支持查看所有在学习的课程和已学习的课程，支持学生通过班级邀请码加入班级，支持在线完成所在班级教师布置的作业，支持在线参加考试，支持学生在线查看成绩。</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36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C6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A2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2357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4"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94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BE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考试管理模块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BDAC3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（三）考试管理系统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1.新增考试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在课程下建设课程考试，支持设置考试名称、考试要求，支持随机出题和固定组卷两种模式，支持设置考试时长，支持从题库中选择题目组成试卷。支持设置两种以上多选择题计分方式，支持题目乱序方式出题，支持设置各类题型的数量及分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2.设置考试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向课程下不同的班级发布不同的在线考试，支持对不同的班级设置不同的考试开始时间、结束时间、学生答题时间、答题次数。支持设置考试答案是否公布、成绩是否公开等，并可设置时间及成绩公布时间。支持网页和移动端两种答题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3.组卷管理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卷策略管理：组卷时需支持以固定试卷和随机试卷方式设定组卷策略，用以生成考试试卷。随机组卷方式支持按照知识点、试题难度所占百分比设定随机组卷策略，考试时考生的试卷支持随机产生。固定试卷方式需由授课教师在题库中选择试题组成固定试卷，考试时考生的试卷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4.在线考试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卷过程中，支持通过鼠标和键盘操作限制技术防止考生作弊行为，支持设置禁止右键、禁止复制粘贴。考试过程中考试界面需全屏显示，不可切换到其他界面，需对考生的答卷情况进行实时记录，在考试过程中如遇死机、断网、误操作关闭等非正常退出考试，支持断点续考、换机考试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5.在线监考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支持通过监考链接查看班级考试情况，支持查看参考人数、考试时长、考试班级、监考授权码。支持查看考试异常情况，记录异常次数和切屏时间。支持对异常考试学生进行强制交卷。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6.考试批阅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学生完成考试后，教师可在线批阅考试，系统实时统计已批阅考试数、未批试卷数，支持按班级对学生的考试进行批改。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考试支持客观题自动批阅功能，学生提交试卷或测试后即能查看对应的成绩与试题详细分析，主观题目的试卷支持教师批阅后方可查看成绩与试题详细分析。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7.成绩管理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授课教师对所授课程的学生成绩进行浏览、查询、发布和导出等。学习者成绩发布之前，支持授课教师对成绩进行修改，成绩发布后，授课教师只能对考试成绩进行浏览，不能进行修改，支持按照固定格式导出excel、txt等格式的考试成绩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学生：支持学生利用授课教师发布的在线课程以及提供的视频、文本、图片、音频等形式的学习资源进行线上学习，通过课程管理，支持对学习者的学习行为进行详细记录，并呈现学习进度。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习进度的记录，支持对已学内容和未学内容进行区分标记，并需显示学习者的课程学习进度条。课程里的视频资源播放时，每过一段时间需由学习者点击“继续学习”按钮后方能继续播放，学习过程需支持通过人脸识别对学习者身份进行验证，有效地解决了“刷课”“替课”的行为，并且还支持视频资源断点续播功能，也解决了学习者学习过程中遇到的断电、断网等突发问题。</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D9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8D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CD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7EB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05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B5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督导评价模块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799C4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（四）督导评价系统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支持教师的教学行为统计和学习者的学习行为统计，实现课程内容、授课行为、课程评价、学习行为等都有迹可循，支持对授课教师的在线教学行为和学习者在线学习行为进行过程监控，有效识别教与学的行为。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1.教学行为统计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教学行为的统计支持授课教师实施完整的教学活动，及时更新课程内容，时时做好对学习者的在线服务工作，确保在线教学线上课程质量。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师的在线教学行为需包括登录次数、在线时长、回帖数、本地资源数、布置作业数、批改作业数等。支持管理员对管理权限内的所有授课教师的在线教学行为进行查询和浏览，还可以通过授课教师名称、时间段等进行查询和过滤，查询统计结果支持excel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统计每门课程的教学数据，支持查看课程的开班数、教师数、学生数、题库数、资源数、作业数；支持统计按班级统计教师教学行为数据，支持统计每个班级的学生数、已批改作业数、已完成作业数、已完成考试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2.学习行为统计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根据课程教学的实际情况，严格进行学习过程和考试监管，杜绝了“刷课”“替课”“刷考”“替考”等不良行为。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支持授课教师和管理员可以查看权限下的所有选课学习者的学习行为，学习者在线学习行为需包括访问量、在线时长、回帖数、笔记数、完成作业总数、完成考试数等，统计数据结果支持excel导出。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支持统计每门课程下学生的作业数、考试数、课程学习进度、课程分数、考试分数等。</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B7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A4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72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6820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8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0F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2C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数据安全溯源模块</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77DB16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（五）数据安全溯源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1.网页隐形水印效果：支持对网页添加和嵌入隐形水印，无明显文字、图案、点阵等肉眼可见的水印信息。不污染网页内容，不改变网页显示元素。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2.隐形水印防止破坏：水印层具有保活机制，即使通过技术手段删除水印层，也可立刻重新生成。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3.场景支持：支持纯文本、图片、表格、图文结合、视频播放、文件预览、系统操作等场景的拍屏溯源取证。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★4.网页溯源取证能力：对系统网页拍屏、截屏进行溯源取证，支持网页窗口全屏拍摄、远景拍摄、部分屏拍摄的图片溯源取证。提供系统功能截图。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★5.溯源追踪：实现对系统登录用户的有效信息追溯，包括：系统登录账户、登录IP、水印嵌入时间等。提供系统功能截图。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6.服务端：支持为溯源对象分配溯源标识，将溯源对象纳入溯源管理范围，支持溯源对象查看、明水印模板、溯源取证。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7.网页水印浏览器支持：支持IE10+、edge、360、火狐、谷歌、欧朋、safari浏览器。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子文档隐形水印效果：支持在.docx或.xlsx格式的电子文档中添加隐形水印，不改变字体大小、字间距、标点符号，无明显文字、符号、图案、点阵等肉眼可见的水印信息，不影响文档阅读、显示效果。提供系统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9.电子文档明水印嵌入：支持嵌入文档明水印，水印内容可包含：姓名、工号、IP、MAC、日期及自定义信息。支持对水印字体、字号、字体颜色、透明度、倾斜度等进行自定义和修改。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子文档溯源取证能力：支持电子文档原件、原文件副本的溯源取证，支持电子文档编辑后（增添内容、删除内容、修改格式等）仍能进行溯源取证，仍可以高精度还原事先嵌入的水印信息。提供系统功能截图。</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46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9B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B2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5052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095"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E8588">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三、运维监测预警服务平台</w:t>
            </w:r>
          </w:p>
        </w:tc>
      </w:tr>
      <w:tr w14:paraId="65F0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0" w:hRule="atLeast"/>
        </w:trPr>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A0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5D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运维监测预警服务平台</w:t>
            </w:r>
          </w:p>
        </w:tc>
        <w:tc>
          <w:tcPr>
            <w:tcW w:w="57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2609B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系统提供自动化巡检服务，确保应用系统功能的稳定运行，通过持续的自动化检测，第一时间发现应用系统的功能异常和性能异常问题。可代替人工巡检，通过及时的报警通知、数据化的巡检分析报告，持续掌握各系统的运行情况，提升系统运行的可靠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1.系统负载监控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参数：1分钟、5分钟、15分钟的平均负载值。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平均负载超过CPU核心数的80%时，发送预警。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平均负载超过CPU核心数时，发送告警。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2.CPU使用率监控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参数：总体CPU使用率、用户态CPU使用率、系统态CPU使用率、I/O等待率、空闲率。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总体CPU使用率超过80%，发送预警。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超过90%，发送告警。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3.内存使用率监控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参数：总内存、已使用内存、可用内存、交换区使用情况。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可用内存少于20%，发送预警。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少于10%，发送告警。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4.网络流量监控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参数：每个网络接口的流入流出流量速率、丢包率、错误率。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流入流量或流出流量速率超过带宽的80%，发送预警。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丢包率或错误率大于1%，发送告警。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5.磁盘使用率监控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参数：每个挂载点的磁盘使用率。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磁盘使用率超过80%，发送预警。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超过90%，发送告警。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6.磁盘IO使用率监控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参数：磁盘的读写IOPS、读写带宽、IO等待时间。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磁盘IOPS或带宽超过磁盘设计能力的80%，发送预警。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超过90%，发送告警。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7.磁盘使用趋势监控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参数：每天、每周的磁盘使用增长率。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采集频率：每天采集一次。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预测未来一周内磁盘使用率将超过90%，发送预警。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预测未来一周内将达到100%，发送告警。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8.TCP统计指标监控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参数：每秒新建连接数、连接状态（如ESTABLISHED、TIME_WAIT等）、连接失败数、TCP重传率。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采集频率：每分钟采集一次。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告警阈值：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新建连接数突增或减少超过历史平均值的50%，发送预警。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TCP重传率超过1%，发送告警。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连接失败率超过1%，发送告警。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9.告警策略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支持即时通讯工具（如钉钉等）多种告警方式。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告警抑制：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支持基于时间段、特定条件（如计划内维护）的告警抑制功能。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告警恢复：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当监控指标恢复正常后，发送恢复通知。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★10.可视化监控大屏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通过可视化大屏展示软件支撑环境运行状态，大屏画面至少包括系统负载情况、CPU使用率情况、内存使用率情况、网络流量情况、磁盘使用率情况、网络延迟情况、响应时间超过1秒请求排行、请求数排行。提供系统功能截图。</w:t>
            </w:r>
          </w:p>
        </w:tc>
        <w:tc>
          <w:tcPr>
            <w:tcW w:w="8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F8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44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3D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bl>
    <w:p w14:paraId="7C227DC5">
      <w:pPr>
        <w:adjustRightInd w:val="0"/>
        <w:snapToGrid w:val="0"/>
        <w:spacing w:line="520" w:lineRule="exact"/>
        <w:ind w:firstLine="482" w:firstLineChars="200"/>
        <w:rPr>
          <w:rFonts w:hint="eastAsia" w:ascii="宋体" w:hAnsi="宋体"/>
          <w:b/>
          <w:bCs/>
          <w:sz w:val="24"/>
          <w:szCs w:val="24"/>
        </w:rPr>
      </w:pPr>
      <w:r>
        <w:rPr>
          <w:rFonts w:hint="eastAsia" w:ascii="宋体" w:hAnsi="宋体" w:eastAsia="宋体" w:cs="宋体"/>
          <w:b/>
          <w:bCs/>
          <w:color w:val="000000"/>
          <w:sz w:val="24"/>
          <w:szCs w:val="24"/>
          <w:lang w:val="en-US" w:eastAsia="zh-CN"/>
        </w:rPr>
        <w:t>注：1.</w:t>
      </w:r>
      <w:r>
        <w:rPr>
          <w:rFonts w:hint="eastAsia" w:ascii="宋体" w:hAnsi="宋体"/>
          <w:b/>
          <w:bCs/>
          <w:sz w:val="24"/>
          <w:szCs w:val="24"/>
        </w:rPr>
        <w:t>标注▲的产品（核心产品），供应商在投标文件《主要成交标的承诺函》中填写名称、品牌、规格、型号、数量、单价等信息。</w:t>
      </w:r>
    </w:p>
    <w:p w14:paraId="1DE7898E">
      <w:pPr>
        <w:adjustRightInd w:val="0"/>
        <w:snapToGrid w:val="0"/>
        <w:spacing w:line="520" w:lineRule="exact"/>
        <w:ind w:firstLine="482" w:firstLineChars="200"/>
        <w:rPr>
          <w:rFonts w:hint="eastAsia" w:ascii="宋体" w:hAnsi="宋体"/>
          <w:b/>
          <w:bCs/>
          <w:sz w:val="24"/>
          <w:szCs w:val="24"/>
          <w:lang w:val="en-US" w:eastAsia="zh-CN"/>
        </w:rPr>
      </w:pPr>
      <w:r>
        <w:rPr>
          <w:rFonts w:hint="eastAsia" w:ascii="宋体" w:hAnsi="宋体"/>
          <w:b/>
          <w:bCs/>
          <w:sz w:val="24"/>
          <w:szCs w:val="24"/>
          <w:lang w:val="en-US" w:eastAsia="zh-CN"/>
        </w:rPr>
        <w:t>2.标注“★”项参数需提供技术参数要求的功能截图等证明材料，未提供证明材料按负偏离处理。</w:t>
      </w:r>
    </w:p>
    <w:p w14:paraId="492B5191">
      <w:pPr>
        <w:adjustRightInd w:val="0"/>
        <w:snapToGrid w:val="0"/>
        <w:spacing w:line="520" w:lineRule="exact"/>
        <w:ind w:firstLine="482" w:firstLineChars="200"/>
        <w:rPr>
          <w:rFonts w:hint="eastAsia" w:ascii="宋体" w:hAnsi="宋体"/>
          <w:b/>
          <w:bCs/>
          <w:sz w:val="24"/>
          <w:szCs w:val="24"/>
          <w:lang w:val="en-US" w:eastAsia="zh-CN"/>
        </w:rPr>
      </w:pPr>
      <w:r>
        <w:rPr>
          <w:rFonts w:hint="eastAsia" w:ascii="宋体" w:hAnsi="宋体"/>
          <w:b/>
          <w:bCs/>
          <w:sz w:val="24"/>
          <w:szCs w:val="24"/>
          <w:lang w:val="en-US" w:eastAsia="zh-CN"/>
        </w:rPr>
        <w:t>3.未标注“★”参数若有3条及以上不满足采购需求的，视为未实质性响应招标文件。以投标文件中技术响应表供应商填写的货物描述和偏离说明为准。</w:t>
      </w:r>
    </w:p>
    <w:p w14:paraId="27F9160E">
      <w:pPr>
        <w:spacing w:line="360" w:lineRule="auto"/>
        <w:rPr>
          <w:rFonts w:ascii="宋体" w:hAnsi="宋体" w:eastAsia="宋体" w:cs="宋体"/>
          <w:b w:val="0"/>
          <w:bCs w:val="0"/>
          <w:color w:val="000000"/>
          <w:sz w:val="24"/>
          <w:szCs w:val="24"/>
        </w:rPr>
      </w:pPr>
      <w:r>
        <w:rPr>
          <w:rFonts w:hint="eastAsia" w:ascii="宋体" w:hAnsi="宋体" w:eastAsia="宋体" w:cs="宋体"/>
          <w:b/>
          <w:bCs/>
          <w:color w:val="000000"/>
          <w:sz w:val="24"/>
          <w:szCs w:val="24"/>
          <w:lang w:val="en-US" w:eastAsia="zh-CN"/>
        </w:rPr>
        <w:t>三</w:t>
      </w:r>
      <w:r>
        <w:rPr>
          <w:rFonts w:ascii="宋体" w:hAnsi="宋体" w:eastAsia="宋体" w:cs="宋体"/>
          <w:b/>
          <w:bCs/>
          <w:color w:val="000000"/>
          <w:sz w:val="24"/>
          <w:szCs w:val="24"/>
        </w:rPr>
        <w:t xml:space="preserve">、报价要求 </w:t>
      </w:r>
      <w:r>
        <w:rPr>
          <w:rFonts w:ascii="宋体" w:hAnsi="宋体" w:eastAsia="宋体" w:cs="宋体"/>
          <w:b w:val="0"/>
          <w:bCs w:val="0"/>
          <w:color w:val="000000"/>
          <w:sz w:val="24"/>
          <w:szCs w:val="24"/>
        </w:rPr>
        <w:t>本项目报总价，报价包含完成本项目所需的一切费用。</w:t>
      </w:r>
      <w:r>
        <w:rPr>
          <w:rFonts w:hint="eastAsia" w:ascii="宋体" w:hAnsi="宋体" w:eastAsia="宋体" w:cs="宋体"/>
          <w:b w:val="0"/>
          <w:bCs w:val="0"/>
          <w:color w:val="000000"/>
          <w:sz w:val="24"/>
          <w:szCs w:val="24"/>
          <w:lang w:eastAsia="zh-CN"/>
        </w:rPr>
        <w:t>成交</w:t>
      </w:r>
      <w:r>
        <w:rPr>
          <w:rFonts w:ascii="宋体" w:hAnsi="宋体" w:eastAsia="宋体" w:cs="宋体"/>
          <w:b w:val="0"/>
          <w:bCs w:val="0"/>
          <w:color w:val="000000"/>
          <w:sz w:val="24"/>
          <w:szCs w:val="24"/>
        </w:rPr>
        <w:t>后采购人不再另行追加任何费用，请投标人自行考察并综合考虑报价风险。</w:t>
      </w:r>
    </w:p>
    <w:p w14:paraId="42771526">
      <w:pPr>
        <w:spacing w:line="360" w:lineRule="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四、其他要求</w:t>
      </w:r>
    </w:p>
    <w:p w14:paraId="459FA4F6">
      <w:pPr>
        <w:spacing w:line="360" w:lineRule="auto"/>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软件内容能与学校现有智慧校园平台本项目采购的智慧校园软件平台需要与学校现有智慧校园软件平台对接（包括使用校园统一身份认证、业务数据与校本数据中心双向同步、校园统一门户集成等）。成交方自主协调第三方系统厂商技术接口和支持，所有接口开发、系统对接费用包含在本次项目采购预算内，全部费用由成交方负责。本项目建设应充分考虑整体系统的先进性、实用性、可靠性、兼容性、可扩展性、易操作性，应根据校方教学实际需求提供切实可行的软件和技术方案。投标单位提供软件技术对接承诺（投标文件中须提供承诺函，格式自拟），满足招标文件中要求的技术对接需求并承担相应法律责任。</w:t>
      </w:r>
    </w:p>
    <w:p w14:paraId="7EB225B5">
      <w:pPr>
        <w:spacing w:line="360" w:lineRule="auto"/>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2.功能演示：成交人所提供的软件产品必须为成熟软件。合同签订后 1 个工作日内成交人须提供招标文件要求的参数证明材料原件加盖公章到采购人处查验，并对参数进行逐条演示，如成交人提供的参数证明材料原件与演示内容不一致，视为虚假应标，提交监督管理部门，按照《中华人民共和国政府采购法》给予相应处罚。</w:t>
      </w:r>
    </w:p>
    <w:p w14:paraId="48D5AC48">
      <w:pPr>
        <w:spacing w:line="360" w:lineRule="auto"/>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交付时间：合同签订后10个工作日内完成软件的安装、部署及所有功能的交付。如未能按期交付则视为违约，将按照相关法律法规法追究其相应法律责任。采购人有权终止合同，不予退还履约保证金，并建议监督管理部门给予相应处罚；</w:t>
      </w:r>
    </w:p>
    <w:p w14:paraId="0D0222CB">
      <w:pPr>
        <w:spacing w:line="360" w:lineRule="auto"/>
        <w:ind w:firstLine="480" w:firstLineChars="20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4．验收：采购人根据实际情况可能邀请或委托第三方机构对项目进行逐条验收，如不能满足功能和技术参数要求，则终止合同，不予退还履约保证金，并建议监督管理部门给予相应处罚。</w:t>
      </w:r>
    </w:p>
    <w:p w14:paraId="1E7D54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_GBK">
    <w:altName w:val="宋体"/>
    <w:panose1 w:val="03000509000000000000"/>
    <w:charset w:val="86"/>
    <w:family w:val="script"/>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44740"/>
    <w:rsid w:val="47F9544A"/>
    <w:rsid w:val="6DF44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jc w:val="left"/>
      <w:outlineLvl w:val="0"/>
    </w:pPr>
    <w:rPr>
      <w:rFonts w:hint="eastAsia" w:ascii="黑体" w:hAnsi="宋体" w:eastAsia="黑体" w:cs="Times New Roman"/>
      <w:b/>
      <w:kern w:val="0"/>
      <w:sz w:val="32"/>
      <w:szCs w:val="32"/>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标题 1 Char"/>
    <w:link w:val="2"/>
    <w:qFormat/>
    <w:uiPriority w:val="0"/>
    <w:rPr>
      <w:rFonts w:hint="eastAsia" w:ascii="黑体" w:hAnsi="宋体" w:eastAsia="黑体" w:cs="Times New Roman"/>
      <w:b/>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10954</Words>
  <Characters>11223</Characters>
  <Lines>0</Lines>
  <Paragraphs>0</Paragraphs>
  <TotalTime>1</TotalTime>
  <ScaleCrop>false</ScaleCrop>
  <LinksUpToDate>false</LinksUpToDate>
  <CharactersWithSpaces>11231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2026-07-08T01:19:00Z</dcterms:created>
  <dc:creator>暗中人</dc:creator>
  <cp:lastModifiedBy>暗中人</cp:lastModifiedBy>
  <dcterms:modified xsi:type="dcterms:W3CDTF">2026-07-08T06:56:58Z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E13CE4392BAE4C0B862AE8508BE43FF9_11</vt:lpwstr>
  </property>
  <property fmtid="{D5CDD505-2E9C-101B-9397-08002B2CF9AE}" pid="4" name="KSOTemplateDocerSaveRecord">
    <vt:lpwstr>eyJoZGlkIjoiOGYyMDhlZDFiNWYzMTA3ZTdmYWYzZmM2MmIwYTUxZmUiLCJ1c2VySWQiOiI3MDM0MTM2NTgifQ==</vt:lpwstr>
  </property>
</Properties>
</file>